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16 257 vom 23. Januar 2018</w:t>
      </w:r>
    </w:p>
    <w:p>
      <w:r>
        <w:t>VS Kantonsgericht, 2018-01-23, FR</w:t>
      </w:r>
    </w:p>
    <w:p>
      <w:r>
        <w:rPr>
          <w:b/>
        </w:rPr>
        <w:t xml:space="preserve">Quelle: </w:t>
      </w:r>
      <w:r>
        <w:t>https://mcp.opencaselaw.ch/entscheid/vs_gerichte_A1 16 257</w:t>
      </w:r>
    </w:p>
    <w:p>
      <w:r>
        <w:t>FR: VS_GERICHTE A1 16 257 du 23 janvier 2018</w:t>
      </w:r>
    </w:p>
    <w:p>
      <w:r>
        <w:t>IT: VS_GERICHTE A1 16 257 del 23 gennaio 2018</w:t>
      </w:r>
    </w:p>
    <w:p>
      <w:pPr>
        <w:pStyle w:val="Heading2"/>
      </w:pPr>
      <w:r>
        <w:t>Erwägungen</w:t>
      </w:r>
    </w:p>
    <w:p>
      <w:r>
        <w:rPr>
          <w:b/>
        </w:rPr>
        <w:t>E. 2</w:t>
      </w:r>
    </w:p>
    <w:p>
      <w:r>
        <w:t>Le recourant reproche d’abord au Conseil d’Etat de ne pas s’être prononcé au sujet de l’absence de récusation de U_________ et d’une éventuelle violation du devoir de réserve ou de secret de fonction. Il y voit l’existence d’un déni de justice matériel.</w:t>
      </w:r>
    </w:p>
    <w:p>
      <w:r>
        <w:rPr>
          <w:b/>
        </w:rPr>
        <w:t>E. 2.1</w:t>
      </w:r>
    </w:p>
    <w:p>
      <w:r>
        <w:t>L’article 29 al. 1 Cst. codifie l’interdiction du déni de justice dit « formel » (Verbot der formelle Rechtsverweigerung oder Verzögerung), interdiction qui fait partie des règles de procédure et s’adresse tout d’abord aux autorités administratives et aux tribunaux. Le déni de justice vise deux cas : le refus de statuer (let. a) et le retard à statuer (let. b), aux- quels la jurisprudence assimile l’interdiction du formalisme excessif (let. c). Sous l'empire de la Constitution fédérale du 29 mai 1874, la jurisprudence opposait les notions de déni de justice « formel » (refus ou retard à statuer) et « matériel » (arbitraire), les deux étant déduites de l’article 4 aCst. Dans la mesure où l’actuelle Constitution n’a pas repris cette terminologie, celle-ci devrait être abandonnée (Piermarco Zen-Ruffinen, Droit adminis- tratif, Partie générale et éléments de procédure, 2e éd. 2013, n. 341, p. 85 ; sur la notion d’inégalité « formelle » et « matérielle », cf. André Grisel, Traité de droit administratif, Tome I, Neuchâtel 1984, p. 365). Dès lors, lorsqu’il reproche à l’autorité attaquée de ne pas avoir statué au sujet de l’absence de récusation de U_________ et d’une prétendue violation du devoir de réserve ou du secret de fonction, le recourant se plaint d’un déni de justice formel sous l’ancienne terminologie et d’un refus de statuer selon la nouvelle. 2.2.1 Selon la jurisprudence, pour satisfaire à l’obligation de motiver déduite de l’article 29 al. 2 Cst. (v. aussi art. 29 al. 3 LPJA), l’autorité doit mentionner, au moins brièvement, les motifs qui l'ont guidée et sur lesquels elle a fondé sa décision, de manière que le justiciable puisse se rendre compte de la portée de celle-ci et l'attaquer en connaissance de cause (ATF 142 I 135 consid. 2. ; 138 I 232 consid. 5.1 ; 136 V 351 consid. 4.2). La motivation d'une décision est suffisante lorsque l'autorité mentionne, au moins briève- ment, les motifs qui l'ont guidée et sur lesquels elle a fondé son raisonnement. L'autorité ne doit toutefois pas se prononcer sur tous les moyens des parties ; elle peut se limiter aux questions décisives (ATF 142 II 154 consid. 4.2 ; 137 II 266 consid. 3.2 ; 136 I 229 consid. 5.2). La motivation peut pour le reste être implicite et résulter des différents considérants de la décision (ATF 141 V 557 consid. 3.2.1 ; arrêts du Tribunal fédéral</w:t>
      </w:r>
    </w:p>
    <w:p>
      <w:r>
        <w:t>- 12 - 1C_167/2015 18 août 2015 consid. 3; 2C_23/2009 du 25 mai 2009 consid. 3.1, publié in : RDAF 2009 II p. 434 ; ACDP A1 14 102 du 6 juin 2014 consid. 3.2).</w:t>
      </w:r>
    </w:p>
    <w:p>
      <w:r>
        <w:t>2.2.2 En l’espèce, le recourant critique la décision du Conseil d’Etat en estimant que la question de la récusation de U_________ n’a pas été traitée. Or, ce faisant, il méconnaît que l’autorité attaquée a retenu dans sa décision du 28 septembre 2016 qu’«en séance du 10 novembre 2010, le conseil municipal de Y_________, en l’absence de U_________ qui s’était récusé et avait quitté la salle, a entériné les décisions antérieures […] ». Elle en a implicitement déduit que le grief tiré de l’absence de récusation de U_________ était infondé dans la mesure où la décision du 20 août 2010 a été entérinée le 10 novembre 2010, en l’absence de U_________, ce qui est exact au sens de l’article 90 al. 2 de la loi du 5 février 2004 sur les communes (LCo ; RS/VS 175.1). Partant, le grief tiré de l’existence d’un déni de justice formel doit être écarté. S’agissant de l’éventuelle violation du devoir de réserve ou de fonction de la part de U_________, on voit mal en quoi le comportement reproché à ce dernier pourrait influencer l’examen de la légalité d’une décision à laquelle il n’a pas participé.</w:t>
      </w:r>
    </w:p>
    <w:p>
      <w:r>
        <w:rPr>
          <w:b/>
        </w:rPr>
        <w:t>E. 2.3</w:t>
      </w:r>
    </w:p>
    <w:p>
      <w:r>
        <w:t>Le recourant estime aussi que le Conseil d’Etat a appliqué de manière illégale l’article 10 al. 1 LPJA (recte art. 90 al. 1 LCo).</w:t>
      </w:r>
    </w:p>
    <w:p>
      <w:r>
        <w:rPr>
          <w:b/>
        </w:rPr>
        <w:t>E. 2.3.1</w:t>
      </w:r>
    </w:p>
    <w:p>
      <w:r>
        <w:t>A teneur de l’article 90 al. 1 LCo, les membres des autorités exécutives et des commissions appelés à rendre ou à préparer une décision doivent se récuser s'ils ont un intérêt personnel dans l'affaire (let. a), s'ils sont parents ou alliés d'une partie, en ligne directe, ou jusqu'au troisième degré en ligne collatérale, ou s'ils sont unis par mariage, fiançailles ou adoption (let. b) ou s'ils représentent une partie ou ont agi dans la même affaire pour une partie (let. c).</w:t>
      </w:r>
    </w:p>
    <w:p>
      <w:r>
        <w:rPr>
          <w:b/>
        </w:rPr>
        <w:t>E. 2.3.2</w:t>
      </w:r>
    </w:p>
    <w:p>
      <w:r>
        <w:t>En l’espèce, la décision prise en séance du 13 janvier 2010 a été entérinée le 10 novembre 2010, en l’absence de U_________, si bien que l’on cherche en vain une application illégale de l’article 10 LPJA, respectivement 90 LCo. Au demeurant, l’on ne saurait suivre le recourant lorsqu’il soutient que « U_________ a influencé les autres membres du Conseil pour les inciter à taxer non les propriétaires des bâtiments mais bien les promoteurs du A_________ » étant donné que la décision du conseil communal de prélever une taxe auprès de X_________, prise en toute collégialité, se fonde sur une base légale (LR, LC, RCCZ, RPVM, REU, REP) et non pas sur la volonté de cette autorité de « taxer les promoteurs ». Partant, les décisions de taxation contestées ne sauraient être annulées au motif qu’elles « découlent directement d’une autre décision</w:t>
      </w:r>
    </w:p>
    <w:p>
      <w:r>
        <w:t>- 13 - du Conseil municipal prise en violation flagrante des règles de récusation imposées par la loi ».</w:t>
      </w:r>
    </w:p>
    <w:p>
      <w:r>
        <w:rPr>
          <w:b/>
        </w:rPr>
        <w:t>E. 3</w:t>
      </w:r>
    </w:p>
    <w:p>
      <w:r>
        <w:t>Le recourant se plaint également d’une violation des articles 3 et 6 RPVM. Il estime que la taxe de remplacement pour une place de stationnement doit être supportée par le propriétaire d’un logement et non pas par le maître d’ouvrage/promoteur.</w:t>
      </w:r>
    </w:p>
    <w:p>
      <w:r>
        <w:rPr>
          <w:b/>
        </w:rPr>
        <w:t>E. 3.1</w:t>
      </w:r>
    </w:p>
    <w:p>
      <w:r>
        <w:t>A titre liminaire, il convient d’analyser si le RCCZ et le RPVM trouvent application au présent cas eu égard à la fusion des communes municipales d’O_________, P_________, Q_________, R_________, D_________ et T_________ intervenue le 1er janvier 2009. Conformément à l’article 140 al. 1 LCo, la décision prononce la fusion des collectivités intéressées, en prévoyant notamment que les nouvelles collectivités reprennent tous les droits et toutes les obligations des anciennes. Certes, le contrat de fusion prévoit à son article 18 que les règlements des communes fusionnées restent en vigueur, à l’intérieur des anciennes limites communales, jusqu’à leur abrogation par un règlement de la commune de Y_________ et que cette uniformisation doit intervenir avant le 31 décembre 2012, la même règle s’appliquant aux règlements communaux des constructions et aux divers plans d’affectation des zones (art. 21). Toutefois l’article 140 al. 2 let. a LCo, auquel renvoie le Message accompagnant le projet de décision concernant la fusion des communes municipales de O_________, P_________, Q_________, R_________, D_________ et T_________ (p. 18) prévoit expressément la possibilité, en ce qui concerne les règlements en vigueur dans les diverses collectivités fusionnées, que la période transitoire peut être prolongée jusqu'à la fin de la période suivante, soit, en l’occurrence, jusqu’au 31 décembre 2016. En l’absence d’un règlement communal des constructions harmonisé ou d’un règlement relatif au parcage des véhicules, tant le RCCZ du 7 septembre 1999 de l’ancienne commune de D_________ que le RPVM trouvent donc application au présent cas d’espèce, attendu que le prononcé du CE est antérieur au 31 décembre 2016.</w:t>
      </w:r>
    </w:p>
    <w:p>
      <w:r>
        <w:rPr>
          <w:b/>
        </w:rPr>
        <w:t>E. 3.2</w:t>
      </w:r>
    </w:p>
    <w:p>
      <w:r>
        <w:t>A teneur de l'article 13 al. 2 de la loi d’application du 23 janvier 1987 de la loi fédé- rale sur l’aménagement du territoire (LALAT ; RS/VS 701.1), les communes définissent les possibilités d’utilisation des différentes zones d’affectation dans un règlement des zones et des constructions (art. 13 al. 1 LALAT), lequel définit notamment les contribu- tions de remplacement (let. g) et les taxes (let. h).</w:t>
      </w:r>
    </w:p>
    <w:p>
      <w:r>
        <w:t>- 14 - Ces contributions présupposent l'existence d'une obligation primaire, soit d'une obligation de faire qui, à certaines conditions, puisse être remplacée par une prestation pécuniaire (ATF 97 I 792 consid. 6c). Elles doivent compenser l'avantage que représente pour l'assujetti la dispense de l'obligation primaire et appartiennent par conséquent aux contributions causales. S'agissant des contributions compensatoires pour places de sta- tionnement manquantes, cet avantage équivaut aux coûts de construction économisés, moins la diminution de valeur résultant de la perte de l'avantage de disposer de ses propres places de stationnement (arrêt du Tribunal fédéral 2P.338/2005 cité in : RDAF 2007 I p. 201/206). L’obligation d’établir des places de stationnement incombe en premier lieu au maître de l’œuvre. Elle est actualisée par la présentation d’un projet de construction d’un bâtiment auquel est liée l’exigence d’une autorisation de construire. Le maître de l’ouvrage est obligé d’établir des places de stationnement au moment où il requiert un permis de construire, considéré comme une autorisation de police (Roland Walter, Places de parc sur terrain privé et solutions de remplacements, Association suisse pour le plan d’amé- nagement national [ASPAN], mémoire n° 28a, Berne 1982, p. 11).</w:t>
      </w:r>
    </w:p>
    <w:p>
      <w:r>
        <w:rPr>
          <w:b/>
        </w:rPr>
        <w:t>E. 3.3</w:t>
      </w:r>
    </w:p>
    <w:p>
      <w:r>
        <w:t>L’article 20 RCCZ prévoit notamment que, pour chaque nouvelle construction, de même que pour chaque transformation importante ou changement d’affectation impor- tant, il faut prévoir un nombre de places de parc, couvertes ou non, sur le domaine privé. Elles doivent assurer le parcage des véhicules du propriétaire et de ses clients ou visiteurs (let. a). Il sera notamment exigé pour les habitations une place par logement de moins de 120 m2, de 120 m2 à 170 m2, une place supplémentaire est exigée, de 170 m2 à 220 m2, idem et ainsi de suite (let. b). Selon l’article 20 let. f RCCZ, si en raison de circonstances locales ou de coût disproportionné, l’établissement des places de parc n’est pas concevable, il existe une possibilité de contribution de remplacement. Ainsi, une taxe de remplacement unique de 3600 francs est perçue par le conseil communal lorsque le propriétaire ne satisfait pas à l’exigence de fournir des places de parc nécessaires (art. 12 RPVM). Le RPVM pose le principe que tout propriétaire d’un logement doit disposer au moins d’une place de parc suffisante sur sa propriété ou à proximité de celle-ci, conformément au RCCZ (art. 3 al. 1 RPVM). Il incombe au propriétaire du logement de démontrer qu’il remplit cette obligation (art. 3 al. 2 RPVM). Les places et accès aménagés en fonction de ces exigences sur du terrain privé doivent demeurer affectés à cet usage aussi longtemps qu’ils répondent à un besoin. Afin de garantir le maintien de ces emplace-</w:t>
      </w:r>
    </w:p>
    <w:p>
      <w:r>
        <w:t>- 15 - ments et à la demande du Conseil communal, une servitude à charge des parcelles concernées devra être inscrite au registre foncier en faveur de la Commune (art. 3 al. 3 RPMV).</w:t>
      </w:r>
    </w:p>
    <w:p>
      <w:r>
        <w:t>Dans le cadre de nouvelles constructions, d’agrandissement ou de changement d’affec- tation de tout ou partie d’un immeuble ou d’une installation, le propriétaire doit remplir les obligations spécifiques de mise à disposition de places de parc prévues par le RPVM, ainsi que les dispositions cantonales et communales en la matière (art. 17 RPVM). Dans le cadre de la copropriété ou de la propriété commune, l’obligation appartient à chaque copropriétaire, de manière solidaire (art. 18 RPVM).</w:t>
      </w:r>
    </w:p>
    <w:p>
      <w:r>
        <w:rPr>
          <w:b/>
        </w:rPr>
        <w:t>E. 3.4</w:t>
      </w:r>
    </w:p>
    <w:p>
      <w:r>
        <w:t>Les dispositions précitées doivent être interprétées en relation avec celles de la LR; son article 215 al. 1 prévoit que, lors de la construction, de l'agrandissement ou du changement d'affectation d'un immeuble ou d'une installation dont l'utilisation entraînera un trafic important de véhicules à moteur, le maître de l'ouvrage devra, dans la mesure commandée par les circonstances, aménager sur terrain privé, au besoin en dehors de la zone d'interdiction de bâtir, les places de stationnement et les voies de circulation nécessaires aux visiteurs et aux usagers. Les communes peuvent, par voie de règle- ment, percevoir auprès du maître d'ouvrage n'ayant pas la possibilité d'aménager des places de stationnement en nombre suffisant, une taxe de remplacement appropriée dont le produit est affecté à la création de places de stationnement (art. 221bis al. 1 LR). La LC traite également de la problématique des places de stationnement. Son article 26 prévoit que, lors de la réalisation des constructions et installations ainsi que lors du changement d'affectation des constructions et installations existantes, le maître de l'ouvrage doit garantir sur la parcelle à bâtir ou à proximité un nombre suffisant de places de stationnement pour véhicules correspondant aux besoins. Pour ce faire et dans le but d'une utilisation mesurée du sol et d'une bonne gestion de la circulation et du territoire, les autorités compétentes favorisent la création de parkings collectifs sur fonds privés ou publics (al. 1). Les communes sont habilitées à prévoir dans leurs règlements de cons- tructions qu’une contribution de remplacement équitable soit perçue auprès du maître de l'ouvrage en cas d'impossibilité d'aménager le nombre de places de parc nécessaires sur fonds privé ou d'inopportunité de participer à une installation publique de stationnement. Le montant de la contribution de remplacement doit être affecté au financement des parkings collectifs (art. 26 al. 2 LC ; ACDP A1 09 171 du 8 janvier 2010 consid. 5).</w:t>
      </w:r>
    </w:p>
    <w:p>
      <w:r>
        <w:t>- 16 -</w:t>
      </w:r>
    </w:p>
    <w:p>
      <w:r>
        <w:rPr>
          <w:b/>
        </w:rPr>
        <w:t>E. 3.5</w:t>
      </w:r>
    </w:p>
    <w:p>
      <w:r>
        <w:t>L’interprétation d’une règle de droit consiste à en déterminer le sens. Si la lecture de cette règle conduit à un résultat univoque, c’est-à-dire s’il n’y a aucune ambiguïté dans les termes utilisés et que le sens de la norme est clair, on ne peut s’en écarter, sous peine de tomber dans l’arbitraire. Il ne peut en aller différemment que lorsque ce sens littéral ne peut être raisonnablement celui qui a été voulu par le législateur, dont l’intention réelle se révèle alors par l’emploi d’autres méthodes (ATF 141 V 197 consid. 5.2 ; 140 III 501 consid. 4 ; 137 V 13 consid. 5.1 ; Pierre Moor et al., Droit admi- nistratif, Vol. I, 3e éd. 2012, p. 127 ss ; André Grisel, op.cit., p. 124). En d’autres termes,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 dérer, soit notamment des travaux préparatoires (interprétation historique), du but de la règle, de son esprit, ainsi que des valeurs sur lesquelles elle repose, singulièrement de l'intérêt protégé (interprétation téléologique) ou encore de sa relation avec d'autres dis- positions légales (interprétation systématique ; ATF 142 II 388 consid. 9.6.1 ; v. aussi Thierry Tanquerel, Manuel de droit administratif, Genève/Zurich/Bâle 2011, n. 429, p. 139).</w:t>
      </w:r>
    </w:p>
    <w:p>
      <w:r>
        <w:rPr>
          <w:b/>
        </w:rPr>
        <w:t>E. 3.6</w:t>
      </w:r>
    </w:p>
    <w:p>
      <w:r>
        <w:t>En l’espèce, le principe lié à la perception d’une taxe de remplacement par le conseil communal, non remis en cause céans, est indiscutable. Seules les questions liées à la titularité de cette obligation, ainsi que le nombre de places manquantes restent à trancher. Le droit communal rattache la taxe de remplacement au « propriétaire » (cf. art. 20 let. f RCCZ et 12 RPVM), voire au « propriétaire de logement » (art. 3 RCCZ), alors que le droit cantonal prévoit que le « maître d’ouvrage » supporte celle-ci (art. 215 al. 1 et 221bis al. 1 LR ; art. 26 al. 2 LC). En tant qu’il s’applique au cas précis des taxes per- çues en relation avec l’octroi du permis de bâtir et sur l’utilisation par son titulaire initial, le droit communal sort par conséquent du cadre de la LR de droit supérieur et contrevient par là à la hiérarchie des normes (Pierre Moor et al., op. cit., p. 348 ss ; André Grisel, op. cit., p. 135). Dès lors, c’est bien le maître d’ouvrage et non pas le propriétaire qui sup- porte une éventuelle taxe de remplacement vu que l’on ne saurait s’écarter du sens clair de la norme cantonale. Cela est d’autant plus vrai que les places de stationnement dont il s’agit ici sont indissociables d’un projet de construction. Le conseil communal a d’ailleurs conditionné les autorisations de construire, délivrées les 20 décembre 2006 et 29 janvier 2007 à la société « A_________ », composée de X_________ et de B_________, au respect de l’article 20 RCCZ (autorisations de construire, ch. 3d).</w:t>
      </w:r>
    </w:p>
    <w:p>
      <w:r>
        <w:t>- 17 - Les deux intéressés ont ainsi dûment été informés des conditions dont étaient assortis les permis de construire au moment où ceux-ci ont été délivrés (art. 44 al. 2 de l’ordon- nance du 2 octobre 1996 sur les constructions - OC ; RS/VS 705.100). A ce propos, s'il est vrai que la décision d'octroi du permis de construire ne fixe pas de manière définitive le montant de la contribution compensatoire, puisqu'elle fait dépendre son calcul exact de la superficie habitable effective des logements, laquelle détermine le nombre de places de stationnement qui devraient être normalement réalisées, il n'en demeure pas moins qu'elle arrête le principe de la perception de la contribution (cf. arrêt 2C_44/2016 du 29 août 2016 consid. 4.2). Le recourant n’a pas contesté les décisions d'octroi des permis de construire sur ce point, il doit ainsi se laisser opposer que la perception de la contribution en question était entrée en force dans son principe. A cela s’ajoute que la distinction entre « maître de l’ouvrage » et « propriétaire » n’a guère d’incidence pratique vu que tant X_________ que B_________ disposaient de ces qualités au moment de la délivrance de l’autorisation de construire du 20 décembre 2006 (arrêt 2C_44/2016 cité consid. 5.2). Dans la mesure où la validité personnelle d’une autorisation de construire se limite au requérant et au propriétaire du fonds (art. 52 al. 2 OC), l’on ne saurait non plus suivre le recourant lorsqu’il estime que les obligations découlant de l’autorisation de construire ont été répercutées de facto aux nouveaux acquéreurs. X_________ et B_________, seuls titulaires des autorisations de construire, dont ils ont fait usage, doivent supporter les exigences qui y sont liées. Par ailleurs, les sommes à payer pouvaient être réclamées au plus tôt au moment de l’octroi du permis de construire, mais rien n’empêchait le conseil communal de les facturer une fois la construction achevée dans la mesure où les conditions qui y étaient liées avaient été portées à la connais- sance des intéressés. Enfin, le Conseil d’Etat s’est basé à bon droit sur les articles 18 RPMV et 544 al. 3 du Code des obligations du 20 mars 1911 (CO ; RS), aux termes duquel les associés, à défaut de convention contraire, sont solidairement responsables des engagements qu’ils ont assumés envers les tiers, en agissant conjointement ou par l’entremise d’un repré- sentant, pour justifier que tant X_________ que B_________ pouvaient être recherchés pour le versement de la totalité du montant dû (cf. infra consid. 7). Partant, le grief doit être rejeté.</w:t>
      </w:r>
    </w:p>
    <w:p>
      <w:r>
        <w:rPr>
          <w:b/>
        </w:rPr>
        <w:t>E. 4</w:t>
      </w:r>
    </w:p>
    <w:p>
      <w:r>
        <w:t>La quotité totale de 18 places de parc n’étant pas remise en cause céans, il reste à déterminer le nombre de places de stationnement manquantes. A cette fin, le recourant soutient qu’il existerait « 16 places de parc (14 intérieures et 2 extérieures) sur la parcelle</w:t>
      </w:r>
    </w:p>
    <w:p>
      <w:r>
        <w:t>- 18 - du A_________ » si bien que seulement deux places supplémentaires pouvaient être taxées.</w:t>
      </w:r>
    </w:p>
    <w:p>
      <w:r>
        <w:rPr>
          <w:b/>
        </w:rPr>
        <w:t>E. 4.1</w:t>
      </w:r>
    </w:p>
    <w:p>
      <w:r>
        <w:t>D’après l’article 219 al. 1 LR, le propriétaire peut également satisfaire à son obliga- tion de créer des aires de stationnement et de voies de circulation sur fonds privés en les faisant aménager sur fonds d'autrui, comme aussi en participant à la création d'emplace- ments sur fonds communs à la condition toutefois que ces emplacements ne soient pas trop éloignés de sa propriété et que les usagers de celle-ci en aient en tout temps la jouissance. Le droit d'aménager une aire de stationnement sur fonds d'autrui fera l'objet de l'inscription au registre foncier d'une servitude en faveur de la parcelle à bâtir et de la commune de situation, à charge de la parcelle avoisinante (art. 219 al. 2 LR). L’article 6 RPVM reprend pour l’essentiel la teneur de l’article 219 LR (« Le propriétaire peut également satisfaire à son obligation en faisant aménager des places de parc sur fonds d’autrui. L’affectation d’une place de parc sur le fonds d’autrui sera garantie par la constitution d’une servitude inscrite au Registre foncier en faveur de la Commune. Les frais liés à la constitution de cette servitude sont à la charge du propriétaire de la par- celle »), ainsi que les dispositions analogues à la LC (cf. supra consid. 3.4). Les places de stationnement doivent être utilisées conformément à leur affectation. Toute utilisation dans un but étranger au parcage des véhicules à moteur est soumise à autorisation. Si les places de parc ne sont pas établies sur la parcelle même, leur exis- tence, ainsi que leur affectation, doivent être garanties par une inscription au registre foncier, servitude établie en faveur de la commune (art. 20 let. g RCCZ). La pente des accès extérieurs aux places de parc privées n’excédera pas 15 % (art. 20 let. e RCCZ). Selon l’article 11 RPVM, sont considérées comme places de parc effectives celles mesu- rant au moins 5,0 m sur 2,3 m (al. 1), sauf autorisation de l’administration communale (al. 2). Par ailleurs, les places de parc doivent être facilement accessibles et permettre un parcage régulier toute l’année. Le Conseil communal peut exiger leur marquage (art. 9 al. 1 RPVM). En hiver, plus particulièrement, ces places devront être correctement entretenues afin de faciliter un accès et un parcage aisés (art. 9 al. 2 RPVM).</w:t>
      </w:r>
    </w:p>
    <w:p>
      <w:r>
        <w:rPr>
          <w:b/>
        </w:rPr>
        <w:t>E. 4.2</w:t>
      </w:r>
    </w:p>
    <w:p>
      <w:r>
        <w:t>Le Conseil d’Etat a retenu que la seule présence d’une place de parc, sans lien avec un logement, soit celle dont le recourant est propriétaire, n’était pas suffisante eu égard à l’article 20 let. b ch. 1 RCCZ. De plus, les places 13 et 14 faisaient l’objet d’une servitude d’utilisation en faveur de BB_________ et CC_________, propriétaires du fonds sur lequel ces places empiètent, si bien qu’il ne se justifiait pas d’en tenir compte. S’agissant</w:t>
      </w:r>
    </w:p>
    <w:p>
      <w:r>
        <w:t>- 19 - des places de stationnement extérieures, l’autorité attaquée a considéré que, faute de répondre aux normes prévues dans les règlements communaux, à savoir qu’elles n’étaient pas attribuées à des logements définis du A_________ (art. 20 let. b ch. 1 RCCZ), que la pente d’accès excédait largement les 15 % (art. 20 let. e RCCZ), qu’elles n’étaient pas disponibles toute l’année durant en raison de l’absence de déneigement du chemin de la Z_________ (art. 9 al. 1 RPMV) et que leur affectation comme places de parc n’était pas garantie (art. 3 al. 3 RPMV), il ne convenait pas d’en tenir compte dans le calcul des places de stationnement à disposition du « A_________ ». Le recourant ne critique pas cette argumentation, se contentant d’affirmer que la décision attaquée viole l’article 17 LPJA et constate de manière inexacte et incorrecte les faits pertinents dans la mesure où elle ne retient pas l’existence de 16 places de stationne- ment. Cette manière de procéder ne répond pas à toutes les exigences de motivation (art. 48 al. 2 LPJA, applicable par renvoi de l’article 80 al. 1 let. b LPJA), si bien que le grief se heurte à une irrecevabilité. Même recevable, il aurait dû être rejeté, car il ressort clairement du dossier, en particulier des plans approuvés par le conseil communal et des photographies, que le garage construit en lien avec la promotion « A_________ » ne comporte que 12 places de stationnement dont l’une est attribuée au recourant quand bien même il ne dispose d’aucun logement en lien avec ladite promotion. A ce propos, même si l’inscription d’une servitude n’est pas requise lorsque les places de stationnement sont installées sur le fonds propre, il n’en demeure pas moins que le droit d’usage d’une place de parc doit, dans le contexte du contentieux des taxes de rempla- cement et/ou de permis de bâtir, être lié au droit de propriété de l’immeuble qu’elle est censée desservir. A défaut, l’intérêt public tendant notamment à la préservation de la qualité de vie d’un quartier, ainsi qu’à l’écoulement du trafic, lequel ne peut se faire de manière rationnelle que si les voies publiques sont libérées dans une large mesure des véhicules en stationnement, ne serait pas atteint (ATF 97 I précité consid. 4a). Par conséquent, le Conseil d’Etat a valablement retenu que la place de parcage dont le recourant est propriétaire ne peut pas être imputée sur les 18 places de stationnement exigées vu qu’elle n’est liée à aucun logement du « A_________ ». En ce qui concerne les places nos 13 et 14, comme le souligne le Conseil d’Etat, celles-ci font l’objet d’une servitude d’utilisation en faveur de BB_________ et CC_________, lesquelles ne sont copropriétaires d’aucun logement dans le « A_________ » si bien que les cases ne sauraient être comptabilisées dans le calcul des</w:t>
      </w:r>
    </w:p>
    <w:p>
      <w:r>
        <w:t>- 20 - places de stationnement requises. Quant aux prétendues places extérieures, les photo- graphies démontrent à l’envi que celles-ci ne remplissent pas les conditions fixées par le RCCZ, ni par le RVMP, sans que le recourant ne le conteste valablement.</w:t>
      </w:r>
    </w:p>
    <w:p>
      <w:r>
        <w:rPr>
          <w:b/>
        </w:rPr>
        <w:t>E. 5</w:t>
      </w:r>
    </w:p>
    <w:p>
      <w:r>
        <w:t>Le recourant soutient encore que « l’application sans motif d’une reformatio in pejus pour une place de parc manquante viole le droit cantonal de procédure et que la taxation en question est manifestement prescrite ». Faute de répondre aux exigences de motivation, cette critique est en soi irrecevable. Quand bien même elle aurait été rece- vable, elle aurait dû être rejetée pour les motifs suivants.</w:t>
      </w:r>
    </w:p>
    <w:p>
      <w:r>
        <w:rPr>
          <w:b/>
        </w:rPr>
        <w:t>E. 5.1</w:t>
      </w:r>
    </w:p>
    <w:p>
      <w:r>
        <w:t>En droit public, l'institution de la prescription est reconnue en vertu d'un principe général du droit, même en l'absence d'une disposition expresse (ATF 112 Ia 260 consid. 5a ; 109 IV 63 consid. 1 ; 108 Ib 150 consid. 4a ; 106 Ia 9 consid. 5b). Si les dispositions applicables ne contiennent aucune règle relative au point de départ et à la durée du délai de prescription, il faut faire appel à la réglementation des délais qui existe dans des domaines voisins, en premier lieu dans ceux qui relèvent du droit public. En l'absence de telles réglementations, le délai de prescription sera finalement fixé selon les principes généraux du droit (ATF 112 Ia 260 cité ; 109 IV 63 cité ; 108 Ib 151 cité ; Pierre Moor / Etienne Poltier, Droit administratif, Vol. II, 3e éd. 2011, p. 96 ss ; André Grisel, Traité de droit administratif, Vol. II, Neuchâtel 1984, p. 660 ss).</w:t>
      </w:r>
    </w:p>
    <w:p>
      <w:r>
        <w:rPr>
          <w:b/>
        </w:rPr>
        <w:t>E. 5.2</w:t>
      </w:r>
    </w:p>
    <w:p>
      <w:r>
        <w:t>En l’espèce, en l’absence de disposition du règlement communal au sujet de la péremption de percevoir une taxe non périodique, il est approprié de se baser sur les dispositions contenues dans la loi fiscale du 10 mars 1976 (LF ; RS/VS 642.1), en parti- culier à la contribution unique prévue à son article 117 al. 3, au terme duquel le droit d'ouvrir une procédure de taxation se prescrit par cinq ans dès la connaissance par le fisc de l'ouverture de la succession ou de la donation, mais en tout cas par dix ans. Or, moins de cinq ans se sont écoulés entre le moment où le droit de percevoir la taxe est né, soit au plus tôt lors de la délivrance des autorisations de construire (16 et 29 janvier 2007) et celui où la première décision du 20 août 2010 a été complétée par une seconde, le 13 janvier 2012, portant sur une place de stationnement différente des six déjà facturées. En tout état de cause, la prescription absolue de dix ans n’est pas acquise. Dans ces circonstances, le conseil communal pouvait exiger le paiement de cette taxe relative à une septième place manquante. En outre, comme le souligne le Conseil d’Etat, le conseil municipal était libre d’exiger le versement d’une taxe supplé- mentaire en complétant sa décision initiale vu que cette décision porte sur une place différente des six déjà facturées. Dans ces conditions, le grief est rejeté.</w:t>
      </w:r>
    </w:p>
    <w:p>
      <w:r>
        <w:t>- 21 -</w:t>
      </w:r>
    </w:p>
    <w:p>
      <w:r>
        <w:rPr>
          <w:b/>
        </w:rPr>
        <w:t>E. 6</w:t>
      </w:r>
    </w:p>
    <w:p>
      <w:r>
        <w:t>Le bien-fondé de la taxe de raccordement de 87 467 fr. 90 n’étant pas contesté céans, il n’y a pas lieu de revenir sur ce point. Seul reste à savoir si la facture litigieuse pouvait être adressée au recourant, ce que l’intéressé conteste. A cet égard, il soutient que les nouveaux règlements sur les eaux à évacuer et sur l’eau potable de la commune de Y_________, homologués par le Conseil d’Etat les 31 mars et 28 avril 2010, en vigueur au moment de la notification de la décision/facture litigieuse, et non pas les anciens REU et REP de la Commune de D_________, doivent être appliqués eu égard leur champ d’application temporel, si bien que le propriétaire de l’immeuble au 1er janvier de l’année de la taxation serait responsable du paiement de la taxe.</w:t>
      </w:r>
    </w:p>
    <w:p>
      <w:r>
        <w:rPr>
          <w:b/>
        </w:rPr>
        <w:t>E. 6.1</w:t>
      </w:r>
    </w:p>
    <w:p>
      <w:r>
        <w:t>Lorsqu’il s’agit de tirer les conséquences juridiques d’un événement passé qui constitue le fondement de la naissance d’un droit ou d’une obligation, il convient d’appli- quer le droit en vigueur au moment de cet événement ; ainsi, en cas de changement de règles de droit, la législation applicable reste en principe celle qui était en vigueur lors de la réalisation de l’état de fait qui doit être apprécié juridiquement ou qui a des consé- quences juridiques (ATF 138 V 176 consid. 7.1 ; 137 V 105 consid. 5.3.1 ; Thierry Tanquerel, op. cit., n. 408 et les références). La contribution de raccordement est une taxe unique dont le propriétaire foncier doit s'acquitter pour pouvoir se raccorder aux installations d'équipement. Elle est due dès que le raccordement à la canalisation a lieu et que l'utilisation en est possible. La preuve d'une utilisation effective par le propriétaire n'est pas nécessaire, puisque ce dernier paie la simple possibilité d'utiliser le raccordement. L'exemple typique est celui du paiement de la taxe unique de raccordement au réseau public d'égouts et d'approvisionnement en eau (ATF 106 Ia 242 consid. 3b ; 92 I 450 consid. aa ; BR/DC 1/97 p. 37). L’obligation de verser une taxe de raccordement aux canalisations incombe en principe au propriétaire de l’immeuble au moment du raccordement (ATF 103 Ia 26 consid. 2 et la réf. citée ; Aldo Zaugg, Steuer, Gebühr und Vorzugslast, in : ZBl 74/1973 p. 220 ; cf. aussi André Grisel, Traité de droit administratif, Tome II, Neuchâtel 1984, p. 609), tant il est vrai qu’il est le principal bénéficiaire de cette mesure vu qu’elle confère une plus-value à son terrain. En principe, en cas de vente du terrain et en l’absence de règle contraire, la débitrice de la taxe reste la personne qui était propriétaire du terrain au moment où la taxe est devenue exigible (Eloi Jeannerat, in : Heinz Aemisegger et al. [édit.], Praxis- kommentar RPG : Nutzungsplanung, Zurich/Bâle/Genève 2016, n. 68 ad art. 19 al. 2 LAT et les réf. citées, p. 585 s.).</w:t>
      </w:r>
    </w:p>
    <w:p>
      <w:r>
        <w:t>- 22 -</w:t>
      </w:r>
    </w:p>
    <w:p>
      <w:r>
        <w:rPr>
          <w:b/>
        </w:rPr>
        <w:t>E. 6.2</w:t>
      </w:r>
    </w:p>
    <w:p>
      <w:r>
        <w:t>En l'espèce, l'état de fait dont découle l’obligation de payer une taxe de raccorde- ment pour l’eau, les égouts et la Step est le moment de l’installation de ce raccordement, lequel est intervenu en novembre 2007 pour la parcelle no xxx1. Il y a donc lieu d'admettre que c'est sur la base de l’ancien règlement relatif à l’évacuation des eaux usées (REU), ainsi que de celui concernant la fourniture de l’eau potable (REP), approuvés par l’assemblée primaire le 26 février 1993 et homologués par le Conseil d’Etat le 5 mai 1993, que l'affaire doit être tranchée, car les nouveaux règlements dont se prévaut le recourant ne sont entrés en vigueur que postérieurement à cette date, soit les 1er janvier 2009 (art. 28 al. 2 du règlement de la commune de Y_________ sur l’eau potable) et le 28 avril 2010 (art. 45 du règlement de la commune de Y_________ sur les eaux à évacuer).</w:t>
      </w:r>
    </w:p>
    <w:p>
      <w:r>
        <w:rPr>
          <w:b/>
        </w:rPr>
        <w:t>E. 6.3</w:t>
      </w:r>
    </w:p>
    <w:p>
      <w:r>
        <w:t>En vertu de l’article 60a al. 1 LEaux, laquelle a abrogé, lors de son entrée en vigueur le 1er novembre 1992, la loi fédérale du 8 octobre 1971 sur la protection des eaux contre la pollution (art. 74 LEaux), les cantons veillent à ce que les coûts de construction, d'exploitation, d'entretien, d'assainissement et de remplacement des installations d'éva- cuation et d'épuration des eaux concourant à l'exécution de tâches publiques soient mis, par l'intermédiaire d'émoluments ou d'autres taxes, à la charge de ceux qui sont à l'ori- gine de la production d'eaux usées. Le montant des taxes est fixé en particulier en fonc- tion du type et de la quantité d'eaux usées produites (let. a) ; des amortissements néces- saires pour maintenir la valeur du capital de ces installations (let. b) ; des intérêts (let. c) et des investissements planifiés pour l'entretien, l'assainissement et le remplacement de ces installations, pour leur adaptation à des exigences légales ou pour des améliorations relatives à leur exploitation (let. d). Selon l’article 14 aLAPEP, applicable à l’époque des faits (cf. consid. 3.1 et 6.1), la commune peut prélever des contributions et des taxes pour assurer le financement de la construction et de l'exploitation des réseaux d'égouts et des stations d'épuration d'eaux usées. A cet effet, la commune peut notamment percevoir une taxe unique de raccorde- ment exigible au moment de l'établissement du raccordement de l'égout privé au réseau public (art. 15 let. b aLAPEP). Conformément à l’article 17 RCCZ, le conseil municipal réglemente l’établissement des réseaux d’infrastructure. Il fixe les modalités techniques, les taxes de raccordement et d’abonnement selon les règlements communaux en la matière. D’après l’article 25 REP, pour assurer la couverture des frais de construction, d’exploita- tion et d’entretien des installations servant à l’approvisionnement en eau potable, le</w:t>
      </w:r>
    </w:p>
    <w:p>
      <w:r>
        <w:t>- 23 - conseil communal prélève notamment une taxe de raccordement exigible au moment du raccordement de la part des requérants. La teneur de l’article 24 REU, très similaire à celle de l’article 25 REP, dispose que, pour assurer la couverture les frais de construc- tion, d’exploitation et d’entretien des installations servant à la collecte et à l’épuration des eaux usées, le conseil communal prélève, outre un éventuel appel en plus-value, une taxe de raccordement pour la collecte exigible au moment du raccordement de la part des requérants […] et une taxe de raccordement pour l’assainissement exigible au moment du raccordement à la station d’épuration de la part des requérants […]. En outre, dans les zones équipées d’égouts publics, les propriétaires ont l’obligation de conduire aux collecteurs communaux les eaux usées ou pluviales en provenance de leurs immeubles, ceci à leur frais. Les eaux usées et les eaux pluviales doivent être col- lectées séparément et raccordées aux collecteurs communaux respectifs (art. 6 REU).</w:t>
      </w:r>
    </w:p>
    <w:p>
      <w:r>
        <w:rPr>
          <w:b/>
        </w:rPr>
        <w:t>E. 6.4</w:t>
      </w:r>
    </w:p>
    <w:p>
      <w:r>
        <w:t>En l’occurrence, il n’est pas contesté que les chalets mitoyens A1 à B3, érigés sur la parcelle n° xxx1, ont été raccordés à l’eau potable et aux eaux usées en novembre 2007. Il s’ensuit que les taxes étaient exigibles à cette date au plus tôt dans la mesure où la commune de D_________ connaît le système de la contribution unique, dite de raccordement, au réseau d’eau et aux canalisations d’égouts, exigible au moment du raccordement. Il reste à déterminer qui est le débiteur de ces taxes. Les articles 24 REU et 25 REP dérogent au principe voulant que la taxe unique de raccordement doit être supportée par le propriétaire au moment dudit raccordement puisqu’ils prévoient que le débiteur de cette taxe est le requérant. Or, la société simple « A_________ », composée de X_________ et de B_________, a requis, le 11 mai 2006, au sens des articles 9 REP et 21 REU, l’autorisation pour la démolition d’une menuiserie, d’un chalet et d’une annexe et la construction, en lieu et place, de sept chalets mitoyens (A1, A2, A3, A4, B1, B2, B3) sur les parcelles nos xxx1, xxx2, xxx3, xxx4 et xxx5 MC, sises sur commune de D_________. A l’appui de cette requête, les plans utiles sur lesquels figurait le raccordement aux égouts à créer ont été joints. Le 16 janvier 2007, le conseil communal a ainsi délivré l’autorisation demandée, laquelle n’a fait l’objet d’aucun recours si bien qu’elle est entrée en force. Le Conseil d’Etat n’a ainsi pas versé dans l’illégalité en retenant que, dans la mesure où les règlements communaux, auxquels la décision entrée en force fait référence, dissocient la personne du débiteur, soit le requérant de l’autorisation de construire, et la date de perception, soit celle où le raccordement est effectué, le requérant de l’autorisation de construire reste</w:t>
      </w:r>
    </w:p>
    <w:p>
      <w:r>
        <w:t>- 24 - redevable de la taxe y relative même lorsque celle-ci est facturée après qu’il ait vendu sa propriété entre le jour où il a déposé son dossier de construction et celui où le raccorde- ment a été effectué.</w:t>
      </w:r>
    </w:p>
    <w:p>
      <w:r>
        <w:rPr>
          <w:b/>
        </w:rPr>
        <w:t>E. 7</w:t>
      </w:r>
    </w:p>
    <w:p>
      <w:r>
        <w:t>Dans un dernier grief, le recourant fait valoir que « dans la mesure où X_________ n’était que copropriétaire d’une partie des immeubles taxés, une moitié de la taxe en question doit être facturée directement à B_________ ». En agissant de la sorte, le prénommé se contente d’opposer son opinion à la décision attaquée sans démontrer l’existence d’une violation de droit si bien que ce grief frise l’irrecevabilité. Il est ainsi renvoyé à ce qu’en dit la décision litigieuse en son consid. 2d relatif à l’article 544 al. 3 CO dans la mesure où les associés répondent de manière primaire, solidaire et illimitée des dettes sociales de la société simple (Pascal Montavon, Abrégé de droit commercial, 6e éd. 2017, p. 148 ; Arthur Meier-Hayoz/Peter Forstmoser, Schweizerisches Gesellschaftsrecht, 11e éd. 2012, n. 31 ad § 12, p. 341 s. ; François Chaix, in : Pierre Tercier/Marc Amstutz [édit.], Commentaire romand, Code des obliga- tions II, Bâle 2008, n. 11 ad art. 544 CO, p. 98). 8.1 Au vu de ce qui précède, le recours de X_________ doit être rejeté (art. 80 al. 1 let. e et 60 al. 1 LPJA). La présente rend sans objet la requête en confirmation de l’effet suspensif, laquelle est au demeurant superflue vu que le recours administratif a, de par la loi (art. 51 al. 1 LPJA applicable par le renvoi de l’art. 80 al. 1 let. de LPJA), un effet suspensif. 8.2 X_________ supportera les frais de justice (art. 89 al. 1 LPJA), sans allocation de dépens (art. 91 a contrario LPJA). 8.3 Vu les critères et limites des articles 13 al. 1 et 25 de la loi du 11 février 2009 fixant le tarif des frais et dépens devant les autorités judiciaires ou administratives (LTar; RS/VS 173.8), et, en particulier, les principes de la couverture des frais et de l’équiva- lence des prestations, l'émolument de justice, qui comprend les frais de chancellerie (art. 3 al. 3 et 11 LTar), est fixé à 1500 francs.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